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 w:before="200"/>
        <w:jc w:val="center"/>
      </w:pPr>
      <w:r>
        <w:rPr>
          <w:b/>
          <w:bCs/>
          <w:sz w:val="32"/>
          <w:szCs w:val="32"/>
        </w:rPr>
        <w:t xml:space="preserve">KONFIDENTSIAALSUSLEPING (NDA)</w:t>
      </w:r>
    </w:p>
    <w:p>
      <w:pPr>
        <w:spacing w:after="160" w:line="300"/>
        <w:jc w:val="both"/>
      </w:pPr>
      <w:r>
        <w:t xml:space="preserve">Käesoleva konfidentsiaalsuslepingu sõlmivad:</w:t>
      </w:r>
    </w:p>
    <w:p>
      <w:r>
        <w:t xml:space="preserve"/>
      </w:r>
    </w:p>
    <w:p>
      <w:pPr>
        <w:spacing w:after="60" w:before="120"/>
      </w:pPr>
      <w:r>
        <w:rPr>
          <w:b/>
          <w:bCs/>
        </w:rPr>
        <w:t xml:space="preserve">POOL A (Andmete avaldaja):</w:t>
      </w:r>
    </w:p>
    <w:p>
      <w:pPr>
        <w:spacing w:after="160" w:line="300"/>
        <w:jc w:val="both"/>
      </w:pPr>
      <w:r>
        <w:t xml:space="preserve">Имя / компания: _____________________  Регистрационный код / isikukood: _____________________  Адрес: _____________________  Представитель: _____________________</w:t>
      </w:r>
    </w:p>
    <w:p>
      <w:r>
        <w:t xml:space="preserve"/>
      </w:r>
    </w:p>
    <w:p>
      <w:pPr>
        <w:spacing w:after="60" w:before="120"/>
      </w:pPr>
      <w:r>
        <w:rPr>
          <w:b/>
          <w:bCs/>
        </w:rPr>
        <w:t xml:space="preserve">POOL B (Andmete vastuvõtja):</w:t>
      </w:r>
    </w:p>
    <w:p>
      <w:pPr>
        <w:spacing w:after="160" w:line="300"/>
        <w:jc w:val="both"/>
      </w:pPr>
      <w:r>
        <w:t xml:space="preserve">Имя / компания: _____________________  Регистрационный код / isikukood: _____________________  Адрес: _____________________  Представитель: _____________________</w:t>
      </w:r>
    </w:p>
    <w:p>
      <w:r>
        <w:t xml:space="preserve"/>
      </w:r>
    </w:p>
    <w:p>
      <w:pPr>
        <w:spacing w:after="60" w:before="120"/>
      </w:pPr>
      <w:r>
        <w:rPr>
          <w:b/>
          <w:bCs/>
        </w:rPr>
        <w:t xml:space="preserve">1. Konfidentsiaalse info määratlus</w:t>
      </w:r>
    </w:p>
    <w:p>
      <w:pPr>
        <w:spacing w:after="160" w:line="300"/>
        <w:jc w:val="both"/>
      </w:pPr>
      <w:r>
        <w:t xml:space="preserve">Konfidentsiaalseks loetakse mistahes info, mida pool A on poolile B avaldanud kirjalikult, suuliselt või elektrooniliselt seoses _____________________ (eesmärk), sh äriplaanid, kliendiandmed, tehnilised lahendused, finantsandmed, hinnastrateegia ja muu mitteavalik teave.</w:t>
      </w:r>
    </w:p>
    <w:p>
      <w:pPr>
        <w:spacing w:after="160" w:line="300"/>
        <w:jc w:val="both"/>
      </w:pPr>
      <w:r>
        <w:t xml:space="preserve">Konfidentsiaalseks ei loeta infot, mis on avalikult kättesaadav, oli poolele B teada enne avaldamist või on saadud kolmandalt isikult ilma piiranguteta.</w:t>
      </w:r>
    </w:p>
    <w:p>
      <w:r>
        <w:t xml:space="preserve"/>
      </w:r>
    </w:p>
    <w:p>
      <w:pPr>
        <w:spacing w:after="60" w:before="120"/>
      </w:pPr>
      <w:r>
        <w:rPr>
          <w:b/>
          <w:bCs/>
        </w:rPr>
        <w:t xml:space="preserve">2. Konfidentsiaalsuse kohustus</w:t>
      </w:r>
    </w:p>
    <w:p>
      <w:pPr>
        <w:spacing w:after="160" w:line="300"/>
        <w:jc w:val="both"/>
      </w:pPr>
      <w:r>
        <w:t xml:space="preserve">Pool B kohustub mitte avaldama, edasi andma ega kasutama konfidentsiaalset infot muul eesmärgil kui kokkulepitud (VÕS § 625). Pool B võib jagada infot ainult oma töötajatega, kes vajavad seda tööülesannete täitmiseks ja keda siduvad samaväärsed konfidentsiaalsuskohustused.</w:t>
      </w:r>
    </w:p>
    <w:p>
      <w:r>
        <w:t xml:space="preserve"/>
      </w:r>
    </w:p>
    <w:p>
      <w:pPr>
        <w:spacing w:after="60" w:before="120"/>
      </w:pPr>
      <w:r>
        <w:rPr>
          <w:b/>
          <w:bCs/>
        </w:rPr>
        <w:t xml:space="preserve">3. Kestus</w:t>
      </w:r>
    </w:p>
    <w:p>
      <w:pPr>
        <w:spacing w:after="160" w:line="300"/>
        <w:jc w:val="both"/>
      </w:pPr>
      <w:r>
        <w:t xml:space="preserve">Käesolev leping kehtib _____________________ aastat allkirjastamisest. Konfidentsiaalsuskohustus säilib ka pärast lepingu lõppemist samaks tähtajaks.</w:t>
      </w:r>
    </w:p>
    <w:p>
      <w:r>
        <w:t xml:space="preserve"/>
      </w:r>
    </w:p>
    <w:p>
      <w:pPr>
        <w:spacing w:after="60" w:before="120"/>
      </w:pPr>
      <w:r>
        <w:rPr>
          <w:b/>
          <w:bCs/>
        </w:rPr>
        <w:t xml:space="preserve">4. Leppetrahv</w:t>
      </w:r>
    </w:p>
    <w:p>
      <w:pPr>
        <w:spacing w:after="160" w:line="300"/>
        <w:jc w:val="both"/>
      </w:pPr>
      <w:r>
        <w:t xml:space="preserve">Lepingu rikkumise korral kohustub rikkuja maksma teisele poolele leppetrahvi _____________________ eurot iga rikkumisjuhtumi eest (VÕS § 162). Leppetrahvi tasumine ei välista täiendava kahju hüvitamise nõudmist.</w:t>
      </w:r>
    </w:p>
    <w:p>
      <w:r>
        <w:t xml:space="preserve"/>
      </w:r>
    </w:p>
    <w:p>
      <w:pPr>
        <w:spacing w:after="60" w:before="120"/>
      </w:pPr>
      <w:r>
        <w:rPr>
          <w:b/>
          <w:bCs/>
        </w:rPr>
        <w:t xml:space="preserve">5. Kohaldatav õigus</w:t>
      </w:r>
    </w:p>
    <w:p>
      <w:pPr>
        <w:spacing w:after="160" w:line="300"/>
        <w:jc w:val="both"/>
      </w:pPr>
      <w:r>
        <w:t xml:space="preserve">Lepingule kohaldatakse Eesti õigust. Vaidlused lahendatakse Harju Maakohtus.</w:t>
      </w:r>
    </w:p>
    <w:p>
      <w:r>
        <w:t xml:space="preserve"/>
      </w:r>
    </w:p>
    <w:p>
      <w:r>
        <w:t xml:space="preserve"/>
      </w:r>
    </w:p>
    <w:p>
      <w:pPr>
        <w:spacing w:after="120"/>
        <w:jc w:val="right"/>
      </w:pPr>
      <w:r>
        <w:t xml:space="preserve">Дата: ___________   Место: ___________</w:t>
      </w:r>
    </w:p>
    <w:p>
      <w:pPr>
        <w:tabs>
          <w:tab w:val="left" w:pos="0"/>
          <w:tab w:val="left" w:pos="4513"/>
        </w:tabs>
        <w:spacing w:after="80" w:before="320"/>
      </w:pPr>
      <w:r>
        <w:rPr>
          <w:b/>
          <w:bCs/>
        </w:rPr>
        <w:t xml:space="preserve">Pool A</w:t>
      </w:r>
      <w:r>
        <w:t xml:space="preserve">	</w:t>
      </w:r>
      <w:r>
        <w:rPr>
          <w:b/>
          <w:bCs/>
        </w:rPr>
        <w:t xml:space="preserve">Pool B</w:t>
      </w:r>
    </w:p>
    <w:p>
      <w:pPr>
        <w:tabs>
          <w:tab w:val="left" w:pos="0"/>
          <w:tab w:val="left" w:pos="4513"/>
        </w:tabs>
        <w:spacing w:after="40"/>
      </w:pPr>
      <w:r>
        <w:t xml:space="preserve">___________________</w:t>
      </w:r>
      <w:r>
        <w:t xml:space="preserve">	</w:t>
      </w:r>
      <w:r>
        <w:t xml:space="preserve">___________________</w:t>
      </w:r>
    </w:p>
    <w:p>
      <w:pPr>
        <w:tabs>
          <w:tab w:val="left" w:pos="0"/>
          <w:tab w:val="left" w:pos="4513"/>
        </w:tabs>
        <w:spacing w:after="160"/>
      </w:pPr>
      <w:r>
        <w:rPr>
          <w:i/>
          <w:iCs/>
          <w:color w:val="666666"/>
          <w:sz w:val="18"/>
          <w:szCs w:val="18"/>
        </w:rPr>
        <w:t xml:space="preserve">(allkiri, kuupäev)</w:t>
      </w:r>
      <w:r>
        <w:t xml:space="preserve">	</w:t>
      </w:r>
      <w:r>
        <w:rPr>
          <w:i/>
          <w:iCs/>
          <w:color w:val="666666"/>
          <w:sz w:val="18"/>
          <w:szCs w:val="18"/>
        </w:rPr>
        <w:t xml:space="preserve">(allkiri, kuupäev)</w:t>
      </w:r>
    </w:p>
    <w:p>
      <w:r>
        <w:t xml:space="preserve"/>
      </w:r>
    </w:p>
    <w:p>
      <w:pPr>
        <w:spacing w:after="120" w:before="120"/>
        <w:jc w:val="both"/>
      </w:pPr>
      <w:r>
        <w:rPr>
          <w:i/>
          <w:iCs/>
          <w:color w:val="555555"/>
          <w:sz w:val="18"/>
          <w:szCs w:val="18"/>
        </w:rPr>
        <w:t xml:space="preserve">Примечание: piiritlematu kestusega NDA on tühine — kestus peab olema mõistlik (soovituslik 3-5 aastat). Leppetrahv peab olema proportsionaalne — ülemäärast trahvi võib kohus vähendada (TsÜS § 86).</w:t>
      </w:r>
    </w:p>
    <w:p>
      <w:pPr>
        <w:spacing w:before="400"/>
        <w:jc w:val="center"/>
      </w:pPr>
      <w:r>
        <w:rPr>
          <w:i/>
          <w:iCs/>
          <w:color w:val="888888"/>
          <w:sz w:val="16"/>
          <w:szCs w:val="16"/>
        </w:rPr>
        <w:t xml:space="preserve">Mall: dokud.ee — informatiivne, ei asenda õigusabi. dokud.ee ei vastuta kasutamise tagajärgede eest.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Konfidentsiaalsusleping (NDA)</dc:title>
  <dc:creator>dokud.ee</dc:creator>
  <dc:description>nda-leping-ru</dc:description>
  <cp:lastModifiedBy>Un-named</cp:lastModifiedBy>
  <cp:revision>1</cp:revision>
  <dcterms:created xsi:type="dcterms:W3CDTF">2026-05-25T12:56:17.848Z</dcterms:created>
  <dcterms:modified xsi:type="dcterms:W3CDTF">2026-05-25T12:56:17.848Z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