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TEENUSE ÜLEANDMISE-VASTUVÕTMISE AKT</w:t>
      </w:r>
    </w:p>
    <w:p>
      <w:pPr>
        <w:spacing w:after="160" w:line="300"/>
        <w:jc w:val="both"/>
      </w:pPr>
      <w:r>
        <w:t xml:space="preserve">Käesolev akt fikseerib alljärgnevate poolte vahelise üleandmise-vastuvõtmise: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Передающий: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Принимающий: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Передающий</w:t>
      </w:r>
      <w:r>
        <w:t xml:space="preserve">	</w:t>
      </w:r>
      <w:r>
        <w:rPr>
          <w:b/>
          <w:bCs/>
        </w:rPr>
        <w:t xml:space="preserve">Принимающий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akt koostatakse kahes eksemplaris, igale poolele üks. Акт allkirjastamisega kinnitavad pooled üleantud objekti / töö / kauba vastuvõtmise согласно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Teenuse üleandmise-vastuvõtmise akt</dc:title>
  <dc:creator>dokud.ee</dc:creator>
  <dc:description>teenuse-uleandmise-vastuvotmise-akt-ru</dc:description>
  <cp:lastModifiedBy>Un-named</cp:lastModifiedBy>
  <cp:revision>1</cp:revision>
  <dcterms:created xsi:type="dcterms:W3CDTF">2026-05-25T12:56:19.617Z</dcterms:created>
  <dcterms:modified xsi:type="dcterms:W3CDTF">2026-05-25T12:56:19.617Z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