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VÕTMETE ÜLEANDMISE AKT</w:t>
      </w:r>
    </w:p>
    <w:p>
      <w:pPr>
        <w:spacing w:after="160" w:line="300"/>
        <w:jc w:val="both"/>
      </w:pPr>
      <w:r>
        <w:t xml:space="preserve">This act records the transfer-acceptance between the following parties: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Transferor: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</w:t>
      </w:r>
      <w:r>
        <w:t xml:space="preserve">	</w:t>
      </w:r>
      <w:r>
        <w:rPr>
          <w:b/>
          <w:bCs/>
        </w:rPr>
        <w:t xml:space="preserve">Recipient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akt koostatakse kahes eksemplaris, igale poolele üks. Act allkirjastamisega kinnitavad pooled üleantud objekti / töö / kauba vastuvõtmise pursuant to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Võtmete üleandmise akt</dc:title>
  <dc:creator>dokud.ee</dc:creator>
  <dc:description>votmete-uleandmise-akt-en</dc:description>
  <cp:lastModifiedBy>Un-named</cp:lastModifiedBy>
  <cp:revision>1</cp:revision>
  <dcterms:created xsi:type="dcterms:W3CDTF">2026-05-25T12:56:20.026Z</dcterms:created>
  <dcterms:modified xsi:type="dcterms:W3CDTF">2026-05-25T12:56:20.026Z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